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28" w:rsidRPr="00EA0601" w:rsidRDefault="00774228" w:rsidP="00D37A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0601">
        <w:rPr>
          <w:rFonts w:ascii="Times New Roman" w:hAnsi="Times New Roman"/>
          <w:b/>
          <w:sz w:val="28"/>
          <w:szCs w:val="28"/>
        </w:rPr>
        <w:t>Стан та профілактика виробничого травматизму по Луцькому відділенню управління виконавчої дирекції Фонду соціального страхування України у Волинській області за 10 місяців 2019 року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Упродовж 10 місяців 2019 року у Луцькому відділенні управління виконавчої дирекції Фонду соціального страхування України у Волинській області зареєстровано 19 потерпілих від нещасних випадків на виробництві, на яких складено акти за формою Н-1, пов’язані з виробництвом.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 10 місяців 2019 року у порівнянні з аналогічним періодом минулого року кількість страхових нещасних випадків пов’язаних з виробництвом, зменшилась на 9.52 % (з 21 до 19 випадків).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Зниження страхових нещасних випадків відмічається у ТОВ «Кромберг енд Шуберт Україна ЛУ» – на 67 % (з 3 до 1) та ТОВ «Завод «Горсталь». У поточному році на ТОВ «Завод «Горсталь» не було нещасних випадків, хоча у попередньому році мав місце нещасний випадок зі стійкою втратою працездатності потерпілого.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Зростання кількості страхових нещасних випадків на виробництві відбулося у: СП ТОВ «Модерн Експо» – на 1 випадок, або на 12.5 %; СГ ПП «Рать» - 2 випадки. У 2018 році на даному підприємстві  нещасних випадків не було.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Збільшилась кількість страхових нещасних випадків із смертельним наслідком на 2 випадки, зокрема,  на ТзОВ «Всепостач» –1 випадок та  Угринівській ЗЗСО І-ІІІ ст. – 1 випадок.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Серед підприємств з високим ризиком травматизму значна кількість нещасних випадків сталася на СП ТОВ «Модерн Експо» - 42% від усіх зареєстрованих по відділенню  (8 нещасних випадків), проте усі випадки без стійкої втрати працездатності потерпілих.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підприємствах травмовано 68,4 % (13) чоловіків та 31.6 % (6) жінок від загальної кількості травмованих по Луцькому відділенню Фонду.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Отриманих травм на виробництві у стані алкогольного сп’яніння за 10 місяців 2019 року не зареєстровано.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Найбільше за цей період 2019 року травмувалися робітники таких професій – оператор верстатів з програмним керуванням (6 осіб),  водій автотранспортних засобів (3).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Серед причин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настання 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страхових нещасних випадків переважають орг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анізаційні – 68,4 % (13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нещасних випадків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Через психофізіоло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гічні причини сталося 10.6 % (2 нещасних випадки)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чер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ез технічні причини – 15.7 % (3 нещасних випадки) та інші причини 0.53 % (1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нещасний випадок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. 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Найпоширенішими організаційними причинами стали: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невиконання вимог інструкцій з охорони праці – 52.6 % від загальної кільк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ості травмованих осіб по відділенню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(10 травмованих осіб);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невиконання посадових обов’язків – 0.53 % (1 травмована особа);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порушення вимог безпеки під час експлуатації транспорту загального користування  – 10.5 % (2 травмованих особи);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інші організаційні причини – 0.53 % (1 травмована особа).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Найпоширенішими психофізіологічними причинами стали: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особиста необережність потерпілого – 10.6 % від загальної кілько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сті травмованих осіб по відділенню 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(2 травмовані особи);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Найпоширенішими технічними причинами стали: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інші технічні причини – 0.53 % (1 травмована особа);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недосконалість технологічного процесу, його невідповідність вимогам безпеки – 10.6 % (2 травмованих особи);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 основних подій, які призвели до нещасних випадків, відносяться: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дія рухомих і таких, що обертаються, деталей обладнання, машин і механізмів – 31.5 % (6 осіб)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від загальної кількості</w:t>
      </w: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падіння потерпілого під час пересування – 21,0 % (4 травмованих особи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дорожньо-транспортна пригода на дорогах (шляхах) загального користування – 10.5 % (2 особи);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10 місяців 2019 року кількість нещасних випадків, пов’язаних з виробництвом, до яких призвела експлуатація обладнання, устаткування, машин та механізмів, становить 10 випадків, в тому числі 2 – смертельних.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 устаткування, використання якого найчастіше приводить до настання нещасних випадків, належить: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автомобілі – 10,5 % від загальної кількості травмованих (2 травмовані особи);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устаткування по виготовленню торгових стелажів – 52.6 % (10 осіб);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 основних травмонебезпечних галузей економіки та видів робіт відносяться: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виробництво меблів – кількість травмованих складає 42 % від загальної кількості  травмованих (8 осіб,);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 сільське господарство,– 15.7 % (3 травмовані особи).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Кількість травмованих осіб у цих галузях складає 58,0 % від загальної кількості травмованих по відділенню. </w:t>
      </w:r>
    </w:p>
    <w:p w:rsidR="00774228" w:rsidRPr="00EA0601" w:rsidRDefault="00774228" w:rsidP="006E45B9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Фонд соціального страхування України здійснює для потерпілих внаслідок нещасного випадку на виробництві або професійного захворювання такі виплати: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1) допомогу у зв’язку з тимчасовою непрацездатністю до відновлення працездатності або встановлення інвалідності;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2) одноразову допомогу в разі стійкої втрати професійної працездатності або смерті потерпілого;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3) щомісячну страхову виплату в разі часткової чи повної втрати працездатності, що компенсує відповідну частину втраченого заробітку потерпілого;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4) страхову виплату потерпілому у розмірі його середньомісячного заробітку при тимчасовому переведенні його на легшу нижчеоплачувану роботу;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5) щомісячну страхову виплату особам, які мають на неї право в разі смерті потерпілого;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6) відшкодування вартості ритуальних послуг, пов’язаних з похованням.</w:t>
      </w:r>
    </w:p>
    <w:p w:rsidR="00774228" w:rsidRPr="00EA0601" w:rsidRDefault="00774228" w:rsidP="00D37AB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Крім того, у разі настання страхового випадку за кошти Фонду здійснюється надання медичних і соціальних послуг. Зокрема, фінансується лікування всіх прямих наслідків страхового випадку до відновлення здоров’я або упродовж усього життя потерпілого у разі визначеної в цьому потреби, проходження курсу оперативної реабілітації на базі санаторно-курортних закладів, проведення досліджень, здійснення оперативних втручань, ендопротезування, протезування, забезпечення лікарськими засобами та виробами медичного призначення тощо.</w:t>
      </w:r>
    </w:p>
    <w:p w:rsidR="00774228" w:rsidRPr="00EA0601" w:rsidRDefault="00774228" w:rsidP="00D37ABB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601">
        <w:rPr>
          <w:rFonts w:ascii="Times New Roman" w:hAnsi="Times New Roman"/>
          <w:sz w:val="28"/>
          <w:szCs w:val="28"/>
          <w:lang w:eastAsia="ru-RU"/>
        </w:rPr>
        <w:tab/>
      </w:r>
      <w:r w:rsidRPr="00EA0601">
        <w:rPr>
          <w:rFonts w:ascii="Times New Roman" w:hAnsi="Times New Roman"/>
          <w:sz w:val="28"/>
          <w:szCs w:val="28"/>
        </w:rPr>
        <w:t xml:space="preserve"> З метою здійснення заходів, спрямованих на запобігання нещасним випадкам, усуненню загрози здоров’ю працівників, викликаної умовами праці, страховим експертом з охорони праці Луцького відділення управління виконавчої дирекції Фонду за 10 місяців 2019 року було </w:t>
      </w:r>
      <w:r>
        <w:rPr>
          <w:rFonts w:ascii="Times New Roman" w:hAnsi="Times New Roman"/>
          <w:sz w:val="28"/>
          <w:szCs w:val="28"/>
        </w:rPr>
        <w:t>проведено</w:t>
      </w:r>
      <w:r w:rsidRPr="00EA0601">
        <w:rPr>
          <w:rFonts w:ascii="Times New Roman" w:hAnsi="Times New Roman"/>
          <w:sz w:val="28"/>
          <w:szCs w:val="28"/>
        </w:rPr>
        <w:t xml:space="preserve"> 11 перевірок щодо стану профілактичної роботи по створенню здорових та безпечних умов праці на підприємствах, під час проведення перевірок виявлено </w:t>
      </w:r>
      <w:r>
        <w:rPr>
          <w:rFonts w:ascii="Times New Roman" w:hAnsi="Times New Roman"/>
          <w:sz w:val="28"/>
          <w:szCs w:val="28"/>
        </w:rPr>
        <w:t>59</w:t>
      </w:r>
      <w:r w:rsidRPr="00EA0601">
        <w:rPr>
          <w:rFonts w:ascii="Times New Roman" w:hAnsi="Times New Roman"/>
          <w:sz w:val="28"/>
          <w:szCs w:val="28"/>
        </w:rPr>
        <w:t xml:space="preserve"> порушен</w:t>
      </w:r>
      <w:r>
        <w:rPr>
          <w:rFonts w:ascii="Times New Roman" w:hAnsi="Times New Roman"/>
          <w:sz w:val="28"/>
          <w:szCs w:val="28"/>
        </w:rPr>
        <w:t>ь</w:t>
      </w:r>
      <w:r w:rsidRPr="00EA0601">
        <w:rPr>
          <w:rFonts w:ascii="Times New Roman" w:hAnsi="Times New Roman"/>
          <w:sz w:val="28"/>
          <w:szCs w:val="28"/>
        </w:rPr>
        <w:t xml:space="preserve"> законодавства про охорону праці. </w:t>
      </w:r>
      <w:r>
        <w:rPr>
          <w:rFonts w:ascii="Times New Roman" w:hAnsi="Times New Roman"/>
          <w:sz w:val="28"/>
          <w:szCs w:val="28"/>
        </w:rPr>
        <w:t xml:space="preserve"> За результатами перевірок р</w:t>
      </w:r>
      <w:r w:rsidRPr="00EA0601">
        <w:rPr>
          <w:rFonts w:ascii="Times New Roman" w:hAnsi="Times New Roman"/>
          <w:sz w:val="28"/>
          <w:szCs w:val="28"/>
        </w:rPr>
        <w:t xml:space="preserve">оботодавцям </w:t>
      </w:r>
      <w:r>
        <w:rPr>
          <w:rFonts w:ascii="Times New Roman" w:hAnsi="Times New Roman"/>
          <w:sz w:val="28"/>
          <w:szCs w:val="28"/>
        </w:rPr>
        <w:t>в</w:t>
      </w:r>
      <w:r w:rsidRPr="00EA0601">
        <w:rPr>
          <w:rFonts w:ascii="Times New Roman" w:hAnsi="Times New Roman"/>
          <w:sz w:val="28"/>
          <w:szCs w:val="28"/>
        </w:rPr>
        <w:t xml:space="preserve">несено 11 подань про порушення </w:t>
      </w:r>
      <w:r>
        <w:rPr>
          <w:rFonts w:ascii="Times New Roman" w:hAnsi="Times New Roman"/>
          <w:sz w:val="28"/>
          <w:szCs w:val="28"/>
        </w:rPr>
        <w:t>нормативних актів з</w:t>
      </w:r>
      <w:r w:rsidRPr="00EA0601">
        <w:rPr>
          <w:rFonts w:ascii="Times New Roman" w:hAnsi="Times New Roman"/>
          <w:sz w:val="28"/>
          <w:szCs w:val="28"/>
        </w:rPr>
        <w:t xml:space="preserve"> охорон</w:t>
      </w:r>
      <w:r>
        <w:rPr>
          <w:rFonts w:ascii="Times New Roman" w:hAnsi="Times New Roman"/>
          <w:sz w:val="28"/>
          <w:szCs w:val="28"/>
        </w:rPr>
        <w:t>и</w:t>
      </w:r>
      <w:r w:rsidRPr="00EA0601">
        <w:rPr>
          <w:rFonts w:ascii="Times New Roman" w:hAnsi="Times New Roman"/>
          <w:sz w:val="28"/>
          <w:szCs w:val="28"/>
        </w:rPr>
        <w:t xml:space="preserve"> праці</w:t>
      </w:r>
      <w:r>
        <w:rPr>
          <w:rFonts w:ascii="Times New Roman" w:hAnsi="Times New Roman"/>
          <w:sz w:val="28"/>
          <w:szCs w:val="28"/>
        </w:rPr>
        <w:t>.</w:t>
      </w:r>
      <w:r w:rsidRPr="00EA060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74228" w:rsidRPr="00EA0601" w:rsidRDefault="00774228" w:rsidP="00D37AB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0601">
        <w:rPr>
          <w:rFonts w:ascii="Times New Roman" w:hAnsi="Times New Roman"/>
          <w:sz w:val="28"/>
          <w:szCs w:val="28"/>
          <w:lang w:eastAsia="uk-UA"/>
        </w:rPr>
        <w:t>Одним з дієвих та ефективних заходів профілактики нещасних випадків є процес їх розслідування, мета якого полягає у визначенні конкретних причин, що призвели до нещасного випадку або профзахворювання, з метою попередження подібного.</w:t>
      </w:r>
    </w:p>
    <w:p w:rsidR="00774228" w:rsidRPr="000A625B" w:rsidRDefault="00774228" w:rsidP="000A625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0601">
        <w:rPr>
          <w:rFonts w:ascii="Times New Roman" w:hAnsi="Times New Roman"/>
          <w:sz w:val="28"/>
          <w:szCs w:val="28"/>
          <w:lang w:eastAsia="uk-UA"/>
        </w:rPr>
        <w:t>За</w:t>
      </w:r>
      <w:r>
        <w:rPr>
          <w:rFonts w:ascii="Times New Roman" w:hAnsi="Times New Roman"/>
          <w:sz w:val="28"/>
          <w:szCs w:val="28"/>
          <w:lang w:eastAsia="uk-UA"/>
        </w:rPr>
        <w:t xml:space="preserve"> 10 місяців 2019 року страховим експертом</w:t>
      </w:r>
      <w:r w:rsidRPr="00EA0601">
        <w:rPr>
          <w:rFonts w:ascii="Times New Roman" w:hAnsi="Times New Roman"/>
          <w:sz w:val="28"/>
          <w:szCs w:val="28"/>
          <w:lang w:eastAsia="uk-UA"/>
        </w:rPr>
        <w:t xml:space="preserve"> з охорони праці взято участь у роботі 21 комісії з розслідування нещасних випадків. В середньому страховий експерт з охорони праці брав участь у роботі 2 комісій з розслідування на місяць.</w:t>
      </w:r>
    </w:p>
    <w:p w:rsidR="00774228" w:rsidRPr="00EA0601" w:rsidRDefault="00774228" w:rsidP="007272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601">
        <w:rPr>
          <w:shd w:val="clear" w:color="auto" w:fill="F7F7F7"/>
        </w:rPr>
        <w:t xml:space="preserve">       </w:t>
      </w:r>
      <w:r>
        <w:rPr>
          <w:shd w:val="clear" w:color="auto" w:fill="F7F7F7"/>
        </w:rPr>
        <w:tab/>
      </w:r>
      <w:r w:rsidRPr="00EA0601">
        <w:rPr>
          <w:rFonts w:ascii="Times New Roman" w:hAnsi="Times New Roman"/>
          <w:sz w:val="28"/>
          <w:szCs w:val="28"/>
          <w:lang w:eastAsia="uk-UA"/>
        </w:rPr>
        <w:t xml:space="preserve">Стан виробничого травматизму та профзахворюваності на підприємствах напряму залежить від ефективності функціонування системи управління охороною праці. Тому страховим експертом з охорони праці взято участь в опрацюванні та впровадженні системи управління охороною праці на підприємствах. Такі профілактичні заходи за поточний період проведені на 15 підприємствах. </w:t>
      </w:r>
    </w:p>
    <w:p w:rsidR="00774228" w:rsidRPr="00EA0601" w:rsidRDefault="00774228" w:rsidP="00486A6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0601">
        <w:rPr>
          <w:rFonts w:ascii="Times New Roman" w:hAnsi="Times New Roman"/>
          <w:sz w:val="28"/>
          <w:szCs w:val="28"/>
          <w:lang w:eastAsia="uk-UA"/>
        </w:rPr>
        <w:t>Також взято участь:</w:t>
      </w:r>
    </w:p>
    <w:p w:rsidR="00774228" w:rsidRPr="00EA0601" w:rsidRDefault="00774228" w:rsidP="00486A67">
      <w:pPr>
        <w:pStyle w:val="NoSpacing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0601">
        <w:rPr>
          <w:rFonts w:ascii="Times New Roman" w:hAnsi="Times New Roman"/>
          <w:sz w:val="28"/>
          <w:szCs w:val="28"/>
          <w:lang w:eastAsia="uk-UA"/>
        </w:rPr>
        <w:tab/>
        <w:t>- у роботі 3 комісій з питань охорони праці підприємств;</w:t>
      </w:r>
    </w:p>
    <w:p w:rsidR="00774228" w:rsidRPr="00EA0601" w:rsidRDefault="00774228" w:rsidP="006B2094">
      <w:pPr>
        <w:pStyle w:val="NoSpacing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0601">
        <w:rPr>
          <w:rFonts w:ascii="Times New Roman" w:hAnsi="Times New Roman"/>
          <w:sz w:val="28"/>
          <w:szCs w:val="28"/>
          <w:lang w:eastAsia="uk-UA"/>
        </w:rPr>
        <w:tab/>
        <w:t>- у розробленні 7 нормативних актів про охорону праці підприємств;</w:t>
      </w:r>
    </w:p>
    <w:p w:rsidR="00774228" w:rsidRPr="00EA0601" w:rsidRDefault="00774228" w:rsidP="006B20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601">
        <w:rPr>
          <w:lang w:eastAsia="uk-UA"/>
        </w:rPr>
        <w:tab/>
      </w:r>
      <w:r w:rsidRPr="00EA0601">
        <w:rPr>
          <w:rFonts w:ascii="Times New Roman" w:hAnsi="Times New Roman"/>
          <w:sz w:val="28"/>
          <w:szCs w:val="28"/>
        </w:rPr>
        <w:t xml:space="preserve">- надано 31 консультацію з питань профілактики страхових випадків. </w:t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  <w:lang w:eastAsia="uk-UA"/>
        </w:rPr>
        <w:t xml:space="preserve">Особлива увага у профілактичній роботі страхового експерта з охорони праці приділяється підприємствам з найбільшим рівнем травматизму (СП ТОВ «Модерн Експо», ТОВ «Кромберг енд Шуберт Україна ЛУ, ТОВ «Завод «Горсталь»). </w:t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rFonts w:ascii="Times New Roman" w:hAnsi="Times New Roman"/>
          <w:sz w:val="28"/>
          <w:szCs w:val="28"/>
        </w:rPr>
        <w:tab/>
      </w:r>
      <w:r w:rsidRPr="00EA0601">
        <w:rPr>
          <w:shd w:val="clear" w:color="auto" w:fill="F7F7F7"/>
        </w:rPr>
        <w:t xml:space="preserve"> </w:t>
      </w:r>
      <w:r w:rsidRPr="00EA0601">
        <w:rPr>
          <w:rFonts w:ascii="Times New Roman" w:hAnsi="Times New Roman"/>
          <w:sz w:val="28"/>
          <w:szCs w:val="28"/>
        </w:rPr>
        <w:t>З метою покращення умов праці та профілактичної роботи з попередження нещасних випадків на виробництві та професійних захворювань, забезпечення реалізації заходів з профілактики виробничого травматизму та професійної захворюваності на засадах співпраці з роботодавцями взято участь у проведенні 5 семінарів</w:t>
      </w:r>
      <w:r>
        <w:rPr>
          <w:rFonts w:ascii="Times New Roman" w:hAnsi="Times New Roman"/>
          <w:sz w:val="28"/>
          <w:szCs w:val="28"/>
        </w:rPr>
        <w:t>,</w:t>
      </w:r>
      <w:r w:rsidRPr="00EA0601">
        <w:rPr>
          <w:rFonts w:ascii="Times New Roman" w:hAnsi="Times New Roman"/>
          <w:sz w:val="28"/>
          <w:szCs w:val="28"/>
        </w:rPr>
        <w:t xml:space="preserve"> 6 нарад</w:t>
      </w:r>
      <w:r>
        <w:rPr>
          <w:rFonts w:ascii="Times New Roman" w:hAnsi="Times New Roman"/>
          <w:sz w:val="28"/>
          <w:szCs w:val="28"/>
        </w:rPr>
        <w:t>,</w:t>
      </w:r>
      <w:r w:rsidRPr="00EA0601">
        <w:rPr>
          <w:rFonts w:ascii="Times New Roman" w:hAnsi="Times New Roman"/>
          <w:sz w:val="28"/>
          <w:szCs w:val="28"/>
        </w:rPr>
        <w:t xml:space="preserve"> 3 засідань круглих столів. У відділенні Фонду було проведено семінар – навчання по практичному застосуванню в роботі нового Порядку розслідування нещасних випадків на виробництві із спеціалістами служб охорони праці підприємств з високим ризиком їх настання. </w:t>
      </w:r>
    </w:p>
    <w:p w:rsidR="00774228" w:rsidRPr="00EA0601" w:rsidRDefault="00774228" w:rsidP="001326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4228" w:rsidRPr="00EA0601" w:rsidSect="00727211">
      <w:pgSz w:w="11906" w:h="16838"/>
      <w:pgMar w:top="36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388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148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801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8F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7E7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CE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C5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8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747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0D1"/>
    <w:rsid w:val="00044934"/>
    <w:rsid w:val="000A625B"/>
    <w:rsid w:val="0010009E"/>
    <w:rsid w:val="00132622"/>
    <w:rsid w:val="00146022"/>
    <w:rsid w:val="00170F3C"/>
    <w:rsid w:val="00264C28"/>
    <w:rsid w:val="00267FF6"/>
    <w:rsid w:val="00332DF5"/>
    <w:rsid w:val="003E182D"/>
    <w:rsid w:val="003F2010"/>
    <w:rsid w:val="00486A67"/>
    <w:rsid w:val="004B1C82"/>
    <w:rsid w:val="004C1E77"/>
    <w:rsid w:val="004C20A2"/>
    <w:rsid w:val="004D3A62"/>
    <w:rsid w:val="005607BE"/>
    <w:rsid w:val="0059688F"/>
    <w:rsid w:val="005C5DAA"/>
    <w:rsid w:val="005E5A8A"/>
    <w:rsid w:val="00620B52"/>
    <w:rsid w:val="00635379"/>
    <w:rsid w:val="006B2094"/>
    <w:rsid w:val="006B3713"/>
    <w:rsid w:val="006E45B9"/>
    <w:rsid w:val="00722274"/>
    <w:rsid w:val="00727211"/>
    <w:rsid w:val="00741D86"/>
    <w:rsid w:val="00743E7B"/>
    <w:rsid w:val="0077308D"/>
    <w:rsid w:val="00774228"/>
    <w:rsid w:val="007A2702"/>
    <w:rsid w:val="007B2CA7"/>
    <w:rsid w:val="008634B4"/>
    <w:rsid w:val="008B1F7F"/>
    <w:rsid w:val="008D5C90"/>
    <w:rsid w:val="00935F0C"/>
    <w:rsid w:val="009628AB"/>
    <w:rsid w:val="009D41F0"/>
    <w:rsid w:val="00A41AB9"/>
    <w:rsid w:val="00A659F6"/>
    <w:rsid w:val="00A90078"/>
    <w:rsid w:val="00AC70B2"/>
    <w:rsid w:val="00B00191"/>
    <w:rsid w:val="00B033E5"/>
    <w:rsid w:val="00B25836"/>
    <w:rsid w:val="00B77413"/>
    <w:rsid w:val="00B858E3"/>
    <w:rsid w:val="00BE64C4"/>
    <w:rsid w:val="00C36885"/>
    <w:rsid w:val="00C516F6"/>
    <w:rsid w:val="00C832B8"/>
    <w:rsid w:val="00CB3755"/>
    <w:rsid w:val="00D37ABB"/>
    <w:rsid w:val="00D47A88"/>
    <w:rsid w:val="00D64AEC"/>
    <w:rsid w:val="00D8415A"/>
    <w:rsid w:val="00D90998"/>
    <w:rsid w:val="00DC203F"/>
    <w:rsid w:val="00DC5696"/>
    <w:rsid w:val="00DC622C"/>
    <w:rsid w:val="00DE7DDD"/>
    <w:rsid w:val="00DF76F1"/>
    <w:rsid w:val="00E01943"/>
    <w:rsid w:val="00E24D7E"/>
    <w:rsid w:val="00E33765"/>
    <w:rsid w:val="00E810D1"/>
    <w:rsid w:val="00EA0601"/>
    <w:rsid w:val="00EB1727"/>
    <w:rsid w:val="00EB66B5"/>
    <w:rsid w:val="00F02F7C"/>
    <w:rsid w:val="00F23BF4"/>
    <w:rsid w:val="00F3760D"/>
    <w:rsid w:val="00F66A45"/>
    <w:rsid w:val="00F95EBE"/>
    <w:rsid w:val="00FA0842"/>
    <w:rsid w:val="00FA35DC"/>
    <w:rsid w:val="00FA70F5"/>
    <w:rsid w:val="00FC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C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uiPriority w:val="99"/>
    <w:rsid w:val="00D64AEC"/>
  </w:style>
  <w:style w:type="paragraph" w:styleId="NoSpacing">
    <w:name w:val="No Spacing"/>
    <w:uiPriority w:val="99"/>
    <w:qFormat/>
    <w:rsid w:val="00486A67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1200</Words>
  <Characters>6846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2019-11-13T12:12:00Z</cp:lastPrinted>
  <dcterms:created xsi:type="dcterms:W3CDTF">2019-11-12T10:48:00Z</dcterms:created>
  <dcterms:modified xsi:type="dcterms:W3CDTF">2019-11-13T12:21:00Z</dcterms:modified>
</cp:coreProperties>
</file>