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B7" w:rsidRPr="0066274B" w:rsidRDefault="007233B7" w:rsidP="006627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iCs/>
          <w:color w:val="817979"/>
          <w:lang w:eastAsia="uk-UA"/>
        </w:rPr>
      </w:pPr>
      <w:r w:rsidRPr="0066274B">
        <w:rPr>
          <w:rFonts w:ascii="Open Sans" w:eastAsia="Times New Roman" w:hAnsi="Open Sans" w:cs="Times New Roman"/>
          <w:b/>
          <w:iCs/>
          <w:color w:val="817979"/>
          <w:lang w:eastAsia="uk-UA"/>
        </w:rPr>
        <w:t>ФОНД СОЦІАЛЬНОГО СТРАХУВАННЯ ІНФОРМУЄ</w:t>
      </w:r>
    </w:p>
    <w:p w:rsidR="007233B7" w:rsidRPr="0066274B" w:rsidRDefault="007233B7" w:rsidP="003B4746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Times New Roman"/>
          <w:i/>
          <w:iCs/>
          <w:color w:val="817979"/>
          <w:lang w:eastAsia="uk-UA"/>
        </w:rPr>
      </w:pPr>
    </w:p>
    <w:p w:rsidR="003B4746" w:rsidRPr="0066274B" w:rsidRDefault="0032740E" w:rsidP="007233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</w:pPr>
      <w:r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>Н</w:t>
      </w:r>
      <w:r w:rsidR="003B4746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 xml:space="preserve">ещасні випадки </w:t>
      </w:r>
      <w:r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 xml:space="preserve">розслідуються </w:t>
      </w:r>
      <w:r w:rsidR="003B4746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 xml:space="preserve"> новими правилами</w:t>
      </w:r>
      <w:r w:rsidR="00FF6EC1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>,</w:t>
      </w:r>
      <w:r w:rsidR="003B4746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 xml:space="preserve"> </w:t>
      </w:r>
      <w:r w:rsidR="00FF6EC1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>о</w:t>
      </w:r>
      <w:r w:rsidR="003B4746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>новлений документ містить низку переваг</w:t>
      </w:r>
      <w:r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>.</w:t>
      </w:r>
      <w:r w:rsidR="003B4746" w:rsidRPr="0066274B">
        <w:rPr>
          <w:rFonts w:ascii="Open Sans" w:eastAsia="Times New Roman" w:hAnsi="Open Sans" w:cs="Times New Roman"/>
          <w:b/>
          <w:i/>
          <w:iCs/>
          <w:color w:val="817979"/>
          <w:lang w:eastAsia="uk-UA"/>
        </w:rPr>
        <w:t xml:space="preserve"> </w:t>
      </w:r>
    </w:p>
    <w:p w:rsidR="00D30674" w:rsidRPr="003B4746" w:rsidRDefault="00D30674" w:rsidP="007233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Open Sans" w:eastAsia="Times New Roman" w:hAnsi="Open Sans" w:cs="Times New Roman"/>
          <w:i/>
          <w:iCs/>
          <w:color w:val="817979"/>
          <w:sz w:val="36"/>
          <w:szCs w:val="36"/>
          <w:lang w:eastAsia="uk-UA"/>
        </w:rPr>
      </w:pPr>
    </w:p>
    <w:p w:rsidR="002A2B6B" w:rsidRPr="0066274B" w:rsidRDefault="003B4746" w:rsidP="007233B7">
      <w:pPr>
        <w:spacing w:after="150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000000" w:themeColor="text1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17 квітня </w:t>
      </w:r>
      <w:r w:rsidR="00D30674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2019</w:t>
      </w:r>
      <w:r w:rsidR="00FF6EC1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</w:t>
      </w:r>
      <w:r w:rsidR="00D30674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р</w:t>
      </w:r>
      <w:r w:rsidR="00FF6EC1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оку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постановою Кабінету Міністрів України </w:t>
      </w:r>
      <w:r w:rsidR="0032740E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№</w:t>
      </w:r>
      <w:r w:rsidR="007233B7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</w:t>
      </w:r>
      <w:r w:rsidR="0032740E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337 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затверджено</w:t>
      </w:r>
      <w:r w:rsidR="007233B7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</w:t>
      </w:r>
      <w:r w:rsidR="007233B7" w:rsidRPr="0066274B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новий</w:t>
      </w:r>
      <w:r w:rsidRPr="0066274B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 </w:t>
      </w:r>
      <w:r w:rsidR="007233B7" w:rsidRPr="0066274B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</w:t>
      </w:r>
      <w:hyperlink r:id="rId5" w:history="1">
        <w:r w:rsidR="007233B7" w:rsidRPr="0066274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ПОРЯДОК</w:t>
        </w:r>
      </w:hyperlink>
      <w:r w:rsidR="005C11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66274B">
        <w:rPr>
          <w:rFonts w:ascii="Open Sans" w:eastAsia="Times New Roman" w:hAnsi="Open Sans" w:cs="Times New Roman"/>
          <w:b/>
          <w:color w:val="000000" w:themeColor="text1"/>
          <w:sz w:val="26"/>
          <w:szCs w:val="26"/>
          <w:lang w:eastAsia="uk-UA"/>
        </w:rPr>
        <w:t>розслідування та обліку нещасних випадків, професійних захворювань та аварій на виробництві.</w:t>
      </w:r>
    </w:p>
    <w:p w:rsidR="003B4746" w:rsidRPr="007233B7" w:rsidRDefault="002A2B6B" w:rsidP="007233B7">
      <w:pPr>
        <w:spacing w:after="150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343030"/>
          <w:sz w:val="26"/>
          <w:szCs w:val="26"/>
          <w:lang w:eastAsia="uk-UA"/>
        </w:rPr>
      </w:pPr>
      <w:r w:rsidRPr="007233B7">
        <w:rPr>
          <w:rFonts w:ascii="Open Sans" w:eastAsia="Times New Roman" w:hAnsi="Open Sans" w:cs="Times New Roman"/>
          <w:b/>
          <w:color w:val="343030"/>
          <w:sz w:val="26"/>
          <w:szCs w:val="26"/>
          <w:lang w:eastAsia="uk-UA"/>
        </w:rPr>
        <w:t>ПЕРЕВАГИ:</w:t>
      </w:r>
      <w:r w:rsidR="003B4746" w:rsidRPr="007233B7">
        <w:rPr>
          <w:rFonts w:ascii="Open Sans" w:eastAsia="Times New Roman" w:hAnsi="Open Sans" w:cs="Times New Roman"/>
          <w:b/>
          <w:color w:val="343030"/>
          <w:sz w:val="26"/>
          <w:szCs w:val="26"/>
          <w:lang w:eastAsia="uk-UA"/>
        </w:rPr>
        <w:t xml:space="preserve"> </w:t>
      </w:r>
      <w:bookmarkStart w:id="0" w:name="_GoBack"/>
      <w:bookmarkEnd w:id="0"/>
    </w:p>
    <w:p w:rsidR="003B4746" w:rsidRPr="003B4746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1. Усунення бюрократії та підвищення прозорості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. Спеціальна комісія утворюється протягом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одного робочого дня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 після отримання від роботодавця письмового повідомлення про нещасний випадок або за інформацією, отриманою з інших джерел. Родина потерпілого сповіщається про початок розслідування листом (пункт 35). Інформуючи </w:t>
      </w:r>
      <w:proofErr w:type="spellStart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Держпраці</w:t>
      </w:r>
      <w:proofErr w:type="spellEnd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про інцидент, роботодавець має одразу запропонувати кандидатури до комісії з розслідування.</w:t>
      </w:r>
    </w:p>
    <w:p w:rsidR="002A2B6B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2. Увага до прихованої зайнятості. 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Розширюється перелік обставин, за яких нещасний випадок та/або гостре професійне захворювання (отруєння) визнаються пов’язаними з виробництвом. Як зазначено у пункті 52, ними, у тому числі є:</w:t>
      </w:r>
    </w:p>
    <w:p w:rsidR="002A2B6B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а) виконання робіт особами, які працюють на умовах</w:t>
      </w:r>
      <w:r w:rsidR="0032740E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цивільно-правового договору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, на інших підставах, передбачених законом, особами, які провадять незалежну професійну діяльність, членами фермерського господарства за обставин, зазначених у підпунктах 1—23 цього пункту;</w:t>
      </w:r>
    </w:p>
    <w:p w:rsidR="002A2B6B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б) виконання робіт особою, яка фактично допущена до роботи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без оформлення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 трудового договору (контракту), у разі підтвердження факту перебування потерпілого у трудових відносинах з роботодавцем за обставин, зазначених у підпунктах 1—23 цього пункту. </w:t>
      </w:r>
    </w:p>
    <w:p w:rsidR="003B4746" w:rsidRPr="003B4746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Звернімо увагу, що </w:t>
      </w:r>
      <w:r w:rsidRPr="003B4746">
        <w:rPr>
          <w:rFonts w:ascii="Open Sans" w:eastAsia="Times New Roman" w:hAnsi="Open Sans" w:cs="Times New Roman"/>
          <w:i/>
          <w:iCs/>
          <w:color w:val="343030"/>
          <w:sz w:val="26"/>
          <w:szCs w:val="26"/>
          <w:bdr w:val="none" w:sz="0" w:space="0" w:color="auto" w:frame="1"/>
          <w:lang w:eastAsia="uk-UA"/>
        </w:rPr>
        <w:t>представляти 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працюючих за ЦПД у спеціальній комісії буде уповноважена особа райдержадміністрації чи органу місцевого самоврядування (пункт 15). Вищезазначені інциденти будуть підлягати спеціальному розслідуванню, тобто комісію з розслідування буде утворювати </w:t>
      </w:r>
      <w:proofErr w:type="spellStart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Держпраці</w:t>
      </w:r>
      <w:proofErr w:type="spellEnd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. Конкретизовано, що при нещасному випадку з працюючими за цивільними угодами або </w:t>
      </w:r>
      <w:proofErr w:type="spellStart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ФОПами</w:t>
      </w:r>
      <w:proofErr w:type="spellEnd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обов’язок повідомити про інцидент покладено на підприємство, в інтересах якого виконуються роботи.</w:t>
      </w:r>
    </w:p>
    <w:p w:rsidR="0032740E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3. Ширше коло випадків визнаватимуть страховими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. До Порядку додано </w:t>
      </w:r>
      <w:r w:rsidRPr="003B4746">
        <w:rPr>
          <w:rFonts w:ascii="Open Sans" w:eastAsia="Times New Roman" w:hAnsi="Open Sans" w:cs="Times New Roman"/>
          <w:i/>
          <w:iCs/>
          <w:color w:val="343030"/>
          <w:sz w:val="26"/>
          <w:szCs w:val="26"/>
          <w:bdr w:val="none" w:sz="0" w:space="0" w:color="auto" w:frame="1"/>
          <w:lang w:eastAsia="uk-UA"/>
        </w:rPr>
        <w:t>Перелік обставин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, за яких настає страховий випадок державного соціального страхування від нещасного випадку  (професійного захворювання (отруєння)/аварії) на виробництві (Додаток 10). Сказано, що страховим випадком визнаватиметься, зокрема, ситуація, коли потерпілий перебував у стані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сп’яніння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 (за умови, що він не був </w:t>
      </w:r>
      <w:r w:rsidR="002A2B6B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в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ідсторонений). </w:t>
      </w:r>
      <w:r w:rsidR="0032740E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Ц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е стимулюватиме роботодавців дбати про життя працівників. </w:t>
      </w:r>
    </w:p>
    <w:p w:rsidR="007233B7" w:rsidRDefault="003B4746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 xml:space="preserve">4. Краща взаємодія з </w:t>
      </w:r>
      <w:proofErr w:type="spellStart"/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медзакладами</w:t>
      </w:r>
      <w:proofErr w:type="spellEnd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. Власник може прийняти повідомлення про нещасний випадок від закладу охорони здоров’я. На запит голови комісії, потерпілого (членів його сім’ї або уповноваженої ними особи) заклади охорони здоров’я у найкоротший строк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 безоплатно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 надають необхідні для проведення розслідування медичні висновки (пункти 43, 44).</w:t>
      </w:r>
    </w:p>
    <w:p w:rsidR="002A2B6B" w:rsidRDefault="002A2B6B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</w:p>
    <w:p w:rsidR="002A2B6B" w:rsidRPr="008905BC" w:rsidRDefault="002A2B6B" w:rsidP="007233B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343030"/>
          <w:sz w:val="26"/>
          <w:szCs w:val="26"/>
          <w:lang w:eastAsia="uk-UA"/>
        </w:rPr>
      </w:pPr>
      <w:r w:rsidRPr="007233B7">
        <w:rPr>
          <w:rFonts w:ascii="Open Sans" w:eastAsia="Times New Roman" w:hAnsi="Open Sans" w:cs="Times New Roman"/>
          <w:b/>
          <w:color w:val="343030"/>
          <w:sz w:val="26"/>
          <w:szCs w:val="26"/>
          <w:lang w:eastAsia="uk-UA"/>
        </w:rPr>
        <w:t>ЗМІНИ, ЯКІ ЗАСЛУГОВУЮТЬ УВАГИ:</w:t>
      </w:r>
    </w:p>
    <w:p w:rsidR="003B4746" w:rsidRPr="003B4746" w:rsidRDefault="003B4746" w:rsidP="007233B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1. Строки давності на вчинення дій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. Строк давності для розслідування нещасних випадків та/або гострих професійних захворювань (отруєнь) на виробництві становить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три роки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 з дня їх настання (пункт 9).  Старий Порядок у пункті 54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не обмежував 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це право будь-якими строками. Також відзначимо, що лише 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lastRenderedPageBreak/>
        <w:t xml:space="preserve">протягом трьох років з дати отримання акта за формою Н-1 потерпілий, член його сім’ї чи уповноважена ними особа або органи, установи та організації, представники яких брали участь у розслідуванні нещасного випадку та/або гострого професійного захворювання (отруєння), мають право звернутися до роботодавця, </w:t>
      </w:r>
      <w:proofErr w:type="spellStart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Держпраці</w:t>
      </w:r>
      <w:proofErr w:type="spellEnd"/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або її територіального органу щодо призначення повторного розслідування (пункт 58).</w:t>
      </w:r>
    </w:p>
    <w:p w:rsidR="004D7224" w:rsidRDefault="003B4746" w:rsidP="007233B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</w:pP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2. Подовження процедур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. </w:t>
      </w:r>
      <w:r w:rsidR="00FF6EC1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Р</w:t>
      </w:r>
      <w:r w:rsidR="00FF6EC1"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озслідування нещасного випадку та/або гострого професійного захворювання (отруєння)</w:t>
      </w:r>
      <w:r w:rsidR="00FF6EC1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комісією підприємства (установи, організації)</w:t>
      </w:r>
      <w:r w:rsidR="00FF6EC1"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 проводиться протягом </w:t>
      </w:r>
      <w:r w:rsidR="00FF6EC1"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5 робочих днів</w:t>
      </w:r>
      <w:r w:rsidR="00FF6EC1"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, </w:t>
      </w:r>
      <w:r w:rsidR="00FF6EC1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 xml:space="preserve">раніше було три 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, спеціальне розслідування нещасного випадку та/або гострого професійного захворювання (отруєння) проводиться протягом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15 робочих днів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, а не 10 днів як раніше. Згідно пункту 56, роботодавець при отриманні обов’язкового до виконання припису за формою Н-9 вживає заходи протягом 10 робочих днів. У старому Порядку цей термін складав </w:t>
      </w:r>
      <w:r w:rsidRPr="003B4746">
        <w:rPr>
          <w:rFonts w:ascii="Open Sans" w:eastAsia="Times New Roman" w:hAnsi="Open Sans" w:cs="Times New Roman"/>
          <w:b/>
          <w:bCs/>
          <w:color w:val="343030"/>
          <w:sz w:val="26"/>
          <w:szCs w:val="26"/>
          <w:bdr w:val="none" w:sz="0" w:space="0" w:color="auto" w:frame="1"/>
          <w:lang w:eastAsia="uk-UA"/>
        </w:rPr>
        <w:t>5 днів</w:t>
      </w:r>
      <w:r w:rsidRPr="003B4746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 (п.35</w:t>
      </w:r>
      <w:r w:rsidR="004D7224">
        <w:rPr>
          <w:rFonts w:ascii="Open Sans" w:eastAsia="Times New Roman" w:hAnsi="Open Sans" w:cs="Times New Roman"/>
          <w:color w:val="343030"/>
          <w:sz w:val="26"/>
          <w:szCs w:val="26"/>
          <w:lang w:eastAsia="uk-UA"/>
        </w:rPr>
        <w:t>).</w:t>
      </w:r>
    </w:p>
    <w:sectPr w:rsidR="004D7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6"/>
    <w:rsid w:val="002A2B6B"/>
    <w:rsid w:val="0032740E"/>
    <w:rsid w:val="003B4746"/>
    <w:rsid w:val="00415662"/>
    <w:rsid w:val="004D7224"/>
    <w:rsid w:val="005C1187"/>
    <w:rsid w:val="00622F71"/>
    <w:rsid w:val="0066274B"/>
    <w:rsid w:val="007233B7"/>
    <w:rsid w:val="00854269"/>
    <w:rsid w:val="008905BC"/>
    <w:rsid w:val="00BA0908"/>
    <w:rsid w:val="00D3067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B221F-2472-42E0-809E-015E827A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ua/npas/pro-zatverzsliduvannya-ta-obliku-neshchasnih-vipadkiv-profesijnih-zahvoryuvan-ta-avarij-na-virobnictvi?fbclid=IwAR1EIQoYdEuUjp1Q_N8c0hCqpCzYH6kKOZedBsvYBX49HVqYqlp-HOr3t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7903-CAA3-4AFD-AC45-869831C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2019-08-21T06:55:00Z</cp:lastPrinted>
  <dcterms:created xsi:type="dcterms:W3CDTF">2019-08-13T09:17:00Z</dcterms:created>
  <dcterms:modified xsi:type="dcterms:W3CDTF">2019-08-21T14:52:00Z</dcterms:modified>
</cp:coreProperties>
</file>